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DBC2" w14:textId="700C78AC" w:rsidR="008871B0" w:rsidRDefault="008871B0" w:rsidP="008871B0">
      <w:pPr>
        <w:pStyle w:val="NormalWeb"/>
        <w:rPr>
          <w:rStyle w:val="Robust"/>
          <w:rFonts w:eastAsiaTheme="majorEastAsia"/>
        </w:rPr>
      </w:pPr>
      <w:r w:rsidRPr="00E945E8">
        <w:rPr>
          <w:noProof/>
          <w:szCs w:val="20"/>
        </w:rPr>
        <w:drawing>
          <wp:inline distT="0" distB="0" distL="0" distR="0" wp14:anchorId="297E4CA1" wp14:editId="6D4E96ED">
            <wp:extent cx="1568450" cy="1530350"/>
            <wp:effectExtent l="0" t="0" r="0" b="0"/>
            <wp:docPr id="116622830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8450" cy="1530350"/>
                    </a:xfrm>
                    <a:prstGeom prst="rect">
                      <a:avLst/>
                    </a:prstGeom>
                    <a:noFill/>
                    <a:ln>
                      <a:noFill/>
                    </a:ln>
                  </pic:spPr>
                </pic:pic>
              </a:graphicData>
            </a:graphic>
          </wp:inline>
        </w:drawing>
      </w:r>
    </w:p>
    <w:p w14:paraId="6386113D" w14:textId="77777777" w:rsidR="008871B0" w:rsidRDefault="008871B0" w:rsidP="008871B0">
      <w:pPr>
        <w:pStyle w:val="NormalWeb"/>
        <w:rPr>
          <w:rStyle w:val="Robust"/>
          <w:rFonts w:eastAsiaTheme="majorEastAsia"/>
          <w:b w:val="0"/>
          <w:bCs w:val="0"/>
          <w:sz w:val="36"/>
          <w:szCs w:val="36"/>
        </w:rPr>
      </w:pPr>
    </w:p>
    <w:p w14:paraId="0385D110" w14:textId="77777777" w:rsidR="008871B0" w:rsidRDefault="008871B0" w:rsidP="008871B0">
      <w:pPr>
        <w:pStyle w:val="NormalWeb"/>
        <w:rPr>
          <w:rStyle w:val="Robust"/>
          <w:rFonts w:eastAsiaTheme="majorEastAsia"/>
          <w:b w:val="0"/>
          <w:bCs w:val="0"/>
          <w:sz w:val="36"/>
          <w:szCs w:val="36"/>
        </w:rPr>
      </w:pPr>
    </w:p>
    <w:p w14:paraId="5B4E077A" w14:textId="29502AC7" w:rsidR="008871B0" w:rsidRPr="008871B0" w:rsidRDefault="008871B0" w:rsidP="008871B0">
      <w:pPr>
        <w:pStyle w:val="NormalWeb"/>
        <w:rPr>
          <w:b/>
          <w:bCs/>
          <w:sz w:val="36"/>
          <w:szCs w:val="36"/>
        </w:rPr>
      </w:pPr>
      <w:r w:rsidRPr="008871B0">
        <w:rPr>
          <w:rStyle w:val="Robust"/>
          <w:rFonts w:eastAsiaTheme="majorEastAsia"/>
          <w:b w:val="0"/>
          <w:bCs w:val="0"/>
          <w:sz w:val="36"/>
          <w:szCs w:val="36"/>
        </w:rPr>
        <w:t>Doctoral thesis abstract</w:t>
      </w:r>
    </w:p>
    <w:p w14:paraId="554CEA73" w14:textId="77777777" w:rsidR="008871B0" w:rsidRDefault="008871B0" w:rsidP="008871B0">
      <w:pPr>
        <w:pStyle w:val="NormalWeb"/>
        <w:rPr>
          <w:rStyle w:val="Robust"/>
          <w:rFonts w:eastAsiaTheme="majorEastAsia"/>
        </w:rPr>
      </w:pPr>
    </w:p>
    <w:p w14:paraId="47FDCFD5" w14:textId="77777777" w:rsidR="008871B0" w:rsidRDefault="008871B0" w:rsidP="008871B0">
      <w:pPr>
        <w:pStyle w:val="NormalWeb"/>
        <w:rPr>
          <w:rStyle w:val="Robust"/>
          <w:rFonts w:eastAsiaTheme="majorEastAsia"/>
        </w:rPr>
      </w:pPr>
    </w:p>
    <w:p w14:paraId="7890B6E2" w14:textId="122246AB" w:rsidR="008871B0" w:rsidRPr="008871B0" w:rsidRDefault="008871B0" w:rsidP="008871B0">
      <w:pPr>
        <w:pStyle w:val="NormalWeb"/>
        <w:rPr>
          <w:sz w:val="48"/>
          <w:szCs w:val="48"/>
        </w:rPr>
      </w:pPr>
      <w:r w:rsidRPr="008871B0">
        <w:rPr>
          <w:rStyle w:val="Robust"/>
          <w:rFonts w:eastAsiaTheme="majorEastAsia"/>
          <w:sz w:val="48"/>
          <w:szCs w:val="48"/>
        </w:rPr>
        <w:t>The Protective Role of Vitamin D Against Retinal Neovascularization in Diabetic Retinopathy in the Dobrogea Region</w:t>
      </w:r>
    </w:p>
    <w:p w14:paraId="62C4F209" w14:textId="1EDEDAD8" w:rsidR="008871B0" w:rsidRDefault="008871B0" w:rsidP="008871B0">
      <w:pPr>
        <w:pStyle w:val="NormalWeb"/>
        <w:jc w:val="center"/>
      </w:pPr>
      <w:r>
        <w:rPr>
          <w:rStyle w:val="Robust"/>
          <w:rFonts w:eastAsiaTheme="majorEastAsia"/>
        </w:rPr>
        <w:t xml:space="preserve"> </w:t>
      </w:r>
    </w:p>
    <w:p w14:paraId="7A691A3A" w14:textId="77777777" w:rsidR="008871B0" w:rsidRDefault="008871B0" w:rsidP="008871B0">
      <w:pPr>
        <w:pStyle w:val="NormalWeb"/>
        <w:rPr>
          <w:rStyle w:val="Robust"/>
          <w:rFonts w:eastAsiaTheme="majorEastAsia"/>
        </w:rPr>
      </w:pPr>
    </w:p>
    <w:p w14:paraId="09282562" w14:textId="77777777" w:rsidR="008871B0" w:rsidRDefault="008871B0" w:rsidP="008871B0">
      <w:pPr>
        <w:pStyle w:val="NormalWeb"/>
        <w:rPr>
          <w:rStyle w:val="Robust"/>
          <w:rFonts w:eastAsiaTheme="majorEastAsia"/>
        </w:rPr>
      </w:pPr>
    </w:p>
    <w:p w14:paraId="75E0BA09" w14:textId="77777777" w:rsidR="008871B0" w:rsidRDefault="008871B0" w:rsidP="008871B0">
      <w:pPr>
        <w:pStyle w:val="NormalWeb"/>
        <w:rPr>
          <w:rStyle w:val="Robust"/>
          <w:rFonts w:eastAsiaTheme="majorEastAsia"/>
        </w:rPr>
      </w:pPr>
    </w:p>
    <w:p w14:paraId="46971692" w14:textId="77777777" w:rsidR="008871B0" w:rsidRDefault="008871B0" w:rsidP="008871B0">
      <w:pPr>
        <w:pStyle w:val="NormalWeb"/>
        <w:rPr>
          <w:rStyle w:val="Robust"/>
          <w:rFonts w:eastAsiaTheme="majorEastAsia"/>
        </w:rPr>
      </w:pPr>
    </w:p>
    <w:p w14:paraId="00FB7944" w14:textId="77777777" w:rsidR="008871B0" w:rsidRDefault="008871B0" w:rsidP="008871B0">
      <w:pPr>
        <w:pStyle w:val="NormalWeb"/>
        <w:rPr>
          <w:rStyle w:val="Robust"/>
          <w:rFonts w:eastAsiaTheme="majorEastAsia"/>
        </w:rPr>
      </w:pPr>
    </w:p>
    <w:p w14:paraId="38863FE0" w14:textId="567B4A28" w:rsidR="008871B0" w:rsidRDefault="008871B0" w:rsidP="008871B0">
      <w:pPr>
        <w:pStyle w:val="NormalWeb"/>
      </w:pPr>
      <w:r>
        <w:rPr>
          <w:rStyle w:val="Robust"/>
          <w:rFonts w:eastAsiaTheme="majorEastAsia"/>
        </w:rPr>
        <w:t>PhD Supervisor:</w:t>
      </w:r>
      <w:r>
        <w:rPr>
          <w:rStyle w:val="Robust"/>
          <w:rFonts w:eastAsiaTheme="majorEastAsia"/>
        </w:rPr>
        <w:t xml:space="preserve">                                                                                    </w:t>
      </w:r>
      <w:r w:rsidRPr="008871B0">
        <w:rPr>
          <w:b/>
          <w:bCs/>
        </w:rPr>
        <w:t>PhD Candidate:</w:t>
      </w:r>
      <w:r w:rsidRPr="008871B0">
        <w:rPr>
          <w:rStyle w:val="Robust"/>
          <w:rFonts w:eastAsiaTheme="majorEastAsia"/>
          <w:b w:val="0"/>
          <w:bCs w:val="0"/>
        </w:rPr>
        <w:t xml:space="preserve"> </w:t>
      </w:r>
      <w:r>
        <w:rPr>
          <w:rStyle w:val="Robust"/>
          <w:rFonts w:eastAsiaTheme="majorEastAsia"/>
        </w:rPr>
        <w:t xml:space="preserve">                                                                              </w:t>
      </w:r>
      <w:r>
        <w:br/>
        <w:t>Prof. Dr. JURJA SANDA</w:t>
      </w:r>
      <w:r>
        <w:t xml:space="preserve">                                                                       Derviș Nejla </w:t>
      </w:r>
    </w:p>
    <w:p w14:paraId="50DB421D"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CDC1378" w14:textId="77777777" w:rsidR="008871B0" w:rsidRDefault="008871B0" w:rsidP="008871B0">
      <w:pPr>
        <w:pStyle w:val="NormalWeb"/>
      </w:pPr>
      <w:r>
        <w:lastRenderedPageBreak/>
        <w:t>Diabetes mellitus is a chronic metabolic disorder that involves disturbances in carbohydrate, fat, and protein metabolism, caused by a relative or absolute deficiency of insulin [1].</w:t>
      </w:r>
    </w:p>
    <w:p w14:paraId="11E3BD69" w14:textId="77777777" w:rsidR="008871B0" w:rsidRDefault="008871B0" w:rsidP="008871B0">
      <w:pPr>
        <w:pStyle w:val="NormalWeb"/>
      </w:pPr>
      <w:r>
        <w:t>The prevalence and incidence rates of diabetes mellitus are increasing worldwide, in parallel with rising obesity rates and the adoption of sedentary lifestyles and inappropriate dietary choices [2,3]. Diabetes mellitus has an estimated prevalence of 9% among adults aged 18 years and older in the general population [4]. According to the International Diabetes Federation (IDF), in 2014, 382 million people were living with diabetes mellitus, and 316 million had impaired glucose tolerance (IGT) worldwide [4]. Most of these individuals were adults aged between 40 and 59 years, and were therefore still professionally active or with the potential to be active [4].</w:t>
      </w:r>
    </w:p>
    <w:p w14:paraId="68E61E50" w14:textId="77777777" w:rsidR="008871B0" w:rsidRDefault="008871B0" w:rsidP="008871B0">
      <w:pPr>
        <w:pStyle w:val="NormalWeb"/>
      </w:pPr>
      <w:r>
        <w:t>Major efforts to understand the epidemiology of diabetic retinopathy (DR) began primarily among Caucasian populations in the 1980s. An important reference point was the initiation of the Wisconsin Epidemiologic Study of Diabetic Retinopathy (WESDR) by Barbara and the late Ronald Klein, with financial support from the National Eye Institute (NEI) in the United States [21,32]. This study provided essential information on the incidence, progression, and risk factors of DR through longitudinal evaluations conducted initially at 4 years, later extended to 10 years and up to 25 years of follow-up [32,33]. However, the WESDR cohort consisted predominantly of non-Hispanic Caucasian participants from a favorable socioeconomic background, characteristic of a high-income country. Subsequent epidemiological cohort studies, such as the Blue Mountains Eye Study in Australia and the Rotterdam Study in the Netherlands, were also centered on Caucasian populations [33,34], raising questions regarding the generalizability of the conclusions to other ethnic groups and socioeconomic contexts.</w:t>
      </w:r>
    </w:p>
    <w:p w14:paraId="5F25D39A" w14:textId="77777777" w:rsidR="008871B0" w:rsidRDefault="008871B0" w:rsidP="008871B0">
      <w:pPr>
        <w:pStyle w:val="NormalWeb"/>
      </w:pPr>
      <w:r>
        <w:t>Only toward the late 2000s did epidemiological data from Asian populations become available, through cohort studies conducted in countries such as India, China, and Singapore [35,36]. Access to data from diverse regions and ethnic groups enabled a more accurate estimation of the global burden of DR through meta-analyses based on large cohorts [18]. The most recent update of these analyses, published between 2020 and 2021, estimated the global prevalence of DR at approximately 103 million people, with a projected increase to 161 million by 2045. Regarding diabetic macular edema (DME), the current prevalence is estimated at 19 million cases, with an anticipated increase to 29 million by 2045 [19].</w:t>
      </w:r>
    </w:p>
    <w:p w14:paraId="4933B467" w14:textId="77777777" w:rsidR="008871B0" w:rsidRDefault="008871B0" w:rsidP="008871B0">
      <w:pPr>
        <w:pStyle w:val="NormalWeb"/>
      </w:pPr>
      <w:r>
        <w:t>In Romanian medical literature, only limited regional and national data regarding the prevalence of diabetic retinopathy are available, while detailed information for the Dobrogea region is lacking. A recent study published in 2025 evaluated a cohort of 105 patients with type 1 and type 2 diabetes mellitus from western Romania, of whom 77 presented with diabetic macular edema. The results showed a DR prevalence of 34.8%, with a mean age of 65 years among patients with DME, an average diabetes duration of 15 years, and suboptimal glycemic control characterized by mean HbA1c values of 7.5% [37].</w:t>
      </w:r>
    </w:p>
    <w:p w14:paraId="5F9CBE1D" w14:textId="77777777" w:rsidR="008871B0" w:rsidRDefault="008871B0" w:rsidP="008871B0">
      <w:pPr>
        <w:pStyle w:val="NormalWeb"/>
      </w:pPr>
      <w:r>
        <w:t xml:space="preserve">Vitamin D is a secosteroid hormone essential for maintaining calcium and phosphorus balance, bone mineralization, and skeletal architectural stability. The classical fundamental role of vitamin D consists in regulating intestinal calcium absorption. When concentrations are adequate, intestinal epithelial cells increase the synthesis of calcium transport proteins, thereby </w:t>
      </w:r>
      <w:r>
        <w:lastRenderedPageBreak/>
        <w:t>promoting active calcium absorption. In deficiency states, the absorption rate decreases from approximately 30–40% to 10–15% in adults [133]. Phosphate utilization also depends on vitamin D, which stimulates the expression of sodium–phosphate cotransporters in the small intestine, contributing to phosphate homeostasis [134].</w:t>
      </w:r>
    </w:p>
    <w:p w14:paraId="1B36518D" w14:textId="77777777" w:rsidR="008871B0" w:rsidRDefault="008871B0" w:rsidP="008871B0">
      <w:pPr>
        <w:pStyle w:val="NormalWeb"/>
      </w:pPr>
      <w:r>
        <w:t>Another classical effect of vitamin D is modulation of parathyroid hormone secretion. Low serum levels of 25-hydroxyvitamin D lead to secondary hyperparathyroidism, accelerating bone remodeling and predisposing to osteopenia and osteoporosis. Maintaining optimal vitamin D concentrations reduces parathyroid hormone secretion and preserves the balance between bone formation and resorption [135]. This endocrine mechanism plays a major role in protecting skeletal health throughout adulthood, particularly in postmenopausal women and elderly men, who are at the highest risk of fragility fractures.</w:t>
      </w:r>
    </w:p>
    <w:p w14:paraId="0DE36119" w14:textId="77777777" w:rsidR="008871B0" w:rsidRDefault="008871B0" w:rsidP="008871B0">
      <w:pPr>
        <w:pStyle w:val="NormalWeb"/>
      </w:pPr>
      <w:r>
        <w:t>At the level of bone tissue, vitamin D acts directly on osteoblasts and osteoclasts through specific receptors, promoting mineralization of the bone matrix. Vitamin D deficiency leads to impaired mineralization, manifesting as rickets in children and osteomalacia in adults. Additionally, vitamin D plays an essential role in maintaining serum calcium levels required for neuromuscular excitability and contractility [136]. These classical effects are well documented by decades of clinical and experimental studies and form the foundation of current supplementation recommendations aimed at preventing bone diseases and skeletal complications.</w:t>
      </w:r>
    </w:p>
    <w:p w14:paraId="6710AB82" w14:textId="77777777" w:rsidR="008871B0" w:rsidRDefault="008871B0" w:rsidP="008871B0">
      <w:pPr>
        <w:pStyle w:val="NormalWeb"/>
      </w:pPr>
      <w:r>
        <w:t>Results from preclinical research suggest that activation of the vitamin D receptor in retinal vascular cells limits abnormal vessel proliferation and inflammatory responses. In genetically modified primary mouse retinal endothelial cells lacking the vitamin D receptor, profound alterations were observed in intercellular junctions and extracellular matrix interactions, along with increased expression of pro-inflammatory mediators through sustained activation of nuclear factor kappa B and STAT1 protein, as well as increased sensitivity to oxidative stress. Administration of the receptor ligand restored a stable endothelial phenotype unfavorable to neovascularization processes. Furthermore, treatment with the active metabolite of vitamin D reduced new vessel formation in an animal model of oxygen-induced ischemic retinopathy, suggesting a relevant antiangiogenic role in vivo [177].</w:t>
      </w:r>
    </w:p>
    <w:p w14:paraId="0590999C" w14:textId="77777777" w:rsidR="008871B0" w:rsidRDefault="008871B0" w:rsidP="008871B0">
      <w:pPr>
        <w:pStyle w:val="NormalWeb"/>
      </w:pPr>
      <w:r>
        <w:t>Separate studies on human-derived cell cultures confirmed these observations. Under hyperglycemic conditions, human retinal microvascular endothelial cells maintained barrier function, transendothelial resistance, and junctional protein architecture (zonula occludens-1 and vascular endothelial cadherin) under the influence of vitamin D3, accompanied by decreased permeability and inhibition of interleukin-1 beta and intercellular adhesion molecule-1 expression. These results indicate that vitamin D3 supports endothelial integrity under conditions similar to diabetes-induced metabolic stress [178].</w:t>
      </w:r>
    </w:p>
    <w:p w14:paraId="1761A10F" w14:textId="77777777" w:rsidR="008871B0" w:rsidRDefault="008871B0" w:rsidP="008871B0">
      <w:pPr>
        <w:pStyle w:val="NormalWeb"/>
      </w:pPr>
      <w:r>
        <w:t>In another model of diabetic retinopathy, vitamin D3 inhibited activation of the oxidative stress cascade involving thioredoxin-interacting protein and the NOD-like receptor family pyrin domain-containing 3 inflammasome, thereby reducing oxidative stress and inflammatory retinal damage. Together, these experimental findings support the hypothesis of a protective role of vitamin D on retinal microcirculation [179].</w:t>
      </w:r>
    </w:p>
    <w:p w14:paraId="176C7672" w14:textId="77777777" w:rsidR="008871B0" w:rsidRDefault="008871B0" w:rsidP="008871B0">
      <w:pPr>
        <w:pStyle w:val="NormalWeb"/>
      </w:pPr>
      <w:r>
        <w:lastRenderedPageBreak/>
        <w:t>The special part of the thesis consisted of a study designed as a prospective, comparative clinical investigation conducted in the Dobrogea region between 2023 and 2025, aimed at evaluating the protective role of vitamin D supplementation against retinal neovascularization in patients with diabetic retinopathy. A total of 204 adult patients with type 2 diabetes mellitus and diabetic retinopathy were included, recruited from specialized medical units in Constanța and Tulcea counties. These patients were divided into two groups: an experimental group of 127 patients who received vitamin D supplementation during the study period, and a control group of 77 patients who did not receive vitamin D supplementation. Both groups continued standard diabetes treatment throughout the study, without additional interventions for retinopathy (except for medical emergencies).</w:t>
      </w:r>
    </w:p>
    <w:p w14:paraId="3708BD85" w14:textId="77777777" w:rsidR="008871B0" w:rsidRDefault="008871B0" w:rsidP="008871B0">
      <w:pPr>
        <w:pStyle w:val="NormalWeb"/>
      </w:pPr>
      <w:r>
        <w:t>The study design included two major evaluations: an initial assessment (at the time of study inclusion, prior to vitamin D administration) and a reassessment after 3 months, in order to compare the evolution of diabetic retinopathy between the two groups. The primary outcome parameter was the presence and progression of retinal neovascularization, assessed through ophthalmologic fundus examinations at baseline and at 3 months. For a subset of patients, evaluation was supplemented with optical coherence tomography (OCT), allowing detailed analysis of retinal structure and neovascularization-associated changes. The working hypothesis was that the experimental group (vitamin D–supplemented) would show a significant reduction in the risk of retinal neovascularization compared to the control group. Accordingly, the study aimed to determine whether vitamin D administration exerted a protective effect on the retina by reducing the incidence or progression of neovascularization in patients with diabetic retinopathy.</w:t>
      </w:r>
    </w:p>
    <w:p w14:paraId="655B6371" w14:textId="77777777" w:rsidR="008871B0" w:rsidRDefault="008871B0" w:rsidP="008871B0">
      <w:pPr>
        <w:pStyle w:val="NormalWeb"/>
      </w:pPr>
      <w:r>
        <w:t>The general methodology included statistical analysis planning at the protocol stage. Appropriate statistical tests were used to compare the two groups (t-tests for normally distributed continuous variables, Mann–Whitney nonparametric tests where distributions were non-Gaussian, and chi-square tests for categorical variables). Additionally, to simultaneously evaluate the effect of vitamin D supplementation (experimental vs. control group) and time (baseline vs. 3 months) on the probability of neovascularization, a generalized linear mixed model (GLMM) for binary data was employed. The study was conducted with approval from the local ethics committee, and all patients provided informed consent prior to participation.</w:t>
      </w:r>
    </w:p>
    <w:p w14:paraId="7E02D4DE" w14:textId="77777777" w:rsidR="008871B0" w:rsidRDefault="008871B0" w:rsidP="008871B0">
      <w:pPr>
        <w:pStyle w:val="NormalWeb"/>
      </w:pPr>
      <w:r>
        <w:t>A total of 204 adult patients with type 2 diabetes mellitus and diabetic retinopathy (non-proliferative or proliferative) from the Dobrogea region were enrolled. Sex distribution was relatively balanced, with a slight predominance of females (58.33%). Patient age ranged from 19 to 93 years, with a mean of approximately 62 years (±12.8), indicating a predominance of middle-aged and elderly adults. Approximately half of the patients were from urban areas (52.45%), with the remainder from rural environments, reflecting the diverse geographic distribution of the studied population.</w:t>
      </w:r>
    </w:p>
    <w:p w14:paraId="4DAD3B4A" w14:textId="77777777" w:rsidR="008871B0" w:rsidRDefault="008871B0" w:rsidP="008871B0">
      <w:pPr>
        <w:pStyle w:val="NormalWeb"/>
      </w:pPr>
      <w:r>
        <w:t>All patients were diagnosed with type 2 diabetes mellitus and exhibited signs of diabetic retinopathy at inclusion. Of these, 69.61% had non-proliferative diabetic retinopathy (early or moderate stages), while 29.41% already presented active retinal neovascularization, corresponding to proliferative diabetic retinopathy. Regarding diabetes therapy, more than half of the patients (54.90%) were treated with oral antidiabetic drugs, while approximately one-third (32.84%) required insulin therapy (insulin-requiring type 2 diabetes).</w:t>
      </w:r>
    </w:p>
    <w:p w14:paraId="09C85C6E" w14:textId="77777777" w:rsidR="008871B0" w:rsidRDefault="008871B0" w:rsidP="008871B0">
      <w:pPr>
        <w:pStyle w:val="NormalWeb"/>
      </w:pPr>
      <w:r>
        <w:lastRenderedPageBreak/>
        <w:t>Patients also presented diabetes-associated comorbidities. A significant incidence of diabetic polyneuropathy was observed: 38.73% of patients had this complication, while 61.27% showed no signs of peripheral neuropathy. Additionally, the majority of patients were non-smokers (55.39%), compared to 44.61% active or former smokers. Weight status analysis revealed a high prevalence of overweight and obesity: 25.49% of patients were overweight, another 25.49% had grade I obesity, and 22.55% had normal body weight; the remaining approximately 26% were classified as grade II or III obesity. The mean body mass index (BMI) in the studied group was approximately 29.5 kg/m² (SD ≈ 6.6), corresponding to overweight status.</w:t>
      </w:r>
    </w:p>
    <w:p w14:paraId="668E9391" w14:textId="77777777" w:rsidR="008871B0" w:rsidRDefault="008871B0" w:rsidP="008871B0">
      <w:pPr>
        <w:pStyle w:val="NormalWeb"/>
      </w:pPr>
      <w:r>
        <w:t>Regarding vitamin D status at baseline, more than half of the patients (51.47%) exhibited vitamin D insufficiency (serum levels below the optimal threshold). Only a small proportion of patients had adequate vitamin D levels, while the remainder showed varying degrees of hypovitaminosis D (insufficiency or deficiency). This observation correlated with sun exposure and dietary behaviors: although most patients reported consuming vitamin D–rich foods (over 70%), 62.25% did not routinely use vitamin D supplements. Baseline serum 25-hydroxyvitamin D (25-OH D) levels across the entire cohort ranged from 2.4 ng/mL to 41.5 ng/mL, with an overall mean of approximately 14 ng/mL, indicating generally suboptimal vitamin D status.</w:t>
      </w:r>
    </w:p>
    <w:p w14:paraId="06C016F1" w14:textId="77777777" w:rsidR="008871B0" w:rsidRDefault="008871B0" w:rsidP="008871B0">
      <w:pPr>
        <w:pStyle w:val="NormalWeb"/>
      </w:pPr>
      <w:r>
        <w:t>Initial patient evaluation was performed at study inclusion prior to vitamin D administration and included a series of clinical and paraclinical investigations aimed at establishing baseline status. First, a detailed medical history and general clinical examination were conducted. Medical history collection included data on diabetes duration and glycemic control, ongoing treatment, presence of diabetic complications (e.g., peripheral neuropathy), and cardiovascular risk factors. Lifestyle habits were also recorded, including smoking status (smoker/non-smoker), diet (particularly consumption of vitamin D–rich foods such as fatty fish and fortified dairy products), and physical activity level. An important documented aspect was sun exposure—patients were questioned regarding average daily time spent outdoors in sunlight, given the role of cutaneous vitamin D synthesis. Nearly half of the patients were found to have very limited sun exposure (only 5–10 minutes per day), while approximately one-third reported moderate exposure (11–30 minutes daily).</w:t>
      </w:r>
    </w:p>
    <w:p w14:paraId="123CD94B" w14:textId="77777777" w:rsidR="008871B0" w:rsidRDefault="008871B0" w:rsidP="008871B0">
      <w:pPr>
        <w:pStyle w:val="NormalWeb"/>
      </w:pPr>
      <w:r>
        <w:t>The initial clinical examination included measurement of anthropometric parameters (weight, height, BMI calculation) and blood pressure. BMI was subsequently analyzed both as a continuous variable and categorically (weight class distribution), highlighting the prevalence of overweight and obesity in the sample.</w:t>
      </w:r>
    </w:p>
    <w:p w14:paraId="4368DF7F" w14:textId="77777777" w:rsidR="008871B0" w:rsidRDefault="008871B0" w:rsidP="008871B0">
      <w:pPr>
        <w:pStyle w:val="NormalWeb"/>
      </w:pPr>
      <w:r>
        <w:t xml:space="preserve">Laboratory investigations conducted at baseline played a crucial role in evaluating patients’ metabolic and vitamin status. Peripheral blood samples were collected in the morning after an overnight fast of more than 8 hours. The test panel included serum 25-OH vitamin D, glycated hemoglobin (HbA1c) for glycemic control assessment, lipid profile (total cholesterol, LDL cholesterol, HDL cholesterol, triglycerides), liver function tests (AST, ALT), and thyroid-stimulating hormone (TSH). Among these, serum 25-OH vitamin D concentration was essential: baseline vitamin D values ranged from 2.4 ng/mL to 41.5 ng/mL, with a mean of approximately 14 ng/mL and no significant differences between the two groups. This finding confirmed that most patients had vitamin D insufficiency or deficiency, as previously noted (51.47% vitamin D insufficiency). Extremely low values (&lt;10 ng/mL) were recorded in some subjects, indicating </w:t>
      </w:r>
      <w:r>
        <w:lastRenderedPageBreak/>
        <w:t>severe deficiency, while very few patients had values approaching the optimal range (30–40 ng/mL). In parallel, mean TSH levels were approximately 4.4 μIU/mL, with wide interindividual variation (range 0.0–67.9 μIU/mL); these data were later analyzed to exclude major thyroid dysfunction as a confounding factor in vitamin D metabolism.</w:t>
      </w:r>
    </w:p>
    <w:p w14:paraId="2952EF64" w14:textId="77777777" w:rsidR="008871B0" w:rsidRDefault="008871B0" w:rsidP="008871B0">
      <w:pPr>
        <w:pStyle w:val="NormalWeb"/>
      </w:pPr>
      <w:r>
        <w:t>Initial ophthalmologic examination was performed by a specialist ophthalmologist and consisted of a complete fundus examination for each patient. Pupils were pharmacologically dilated beforehand (using 1% tropicamide eye drops) to allow optimal retinal visualization. Signs of diabetic retinopathy, disease stage, and particularly the presence of retinal neovascularization were carefully documented. For a subgroup of patients, ophthalmologic assessment was supplemented with OCT (Optical Coherence Tomography). Findings showed that 69.61% of patients had lesions characteristic of non-proliferative retinopathy (microaneurysms, punctate retinal hemorrhages, exudates) without neovascular vessels, while 29.41% already exhibited neovascularization on the retina or optic disc, indicating early proliferative retinopathy. These proportions formed the basis for subsequent evaluation of vitamin D effects: patients with neovascularization were monitored for remission or stabilization, while those without neovascularization were followed for incident development during the study.</w:t>
      </w:r>
    </w:p>
    <w:p w14:paraId="6DB6AA83" w14:textId="77777777" w:rsidR="008871B0" w:rsidRDefault="008871B0" w:rsidP="008871B0">
      <w:pPr>
        <w:pStyle w:val="NormalWeb"/>
      </w:pPr>
      <w:r>
        <w:t>Finally, dietary vitamin D intake and supplement use were assessed. Through a nutritional questionnaire, patients reported the frequency of consumption of vitamin D–rich foods (fish, eggs, liver, mushrooms, fortified products) and any dietary supplements used. Results showed that 71.57% of participants had a diet that regularly included vitamin D sources, while only approximately 37.75% used vitamin D supplements; the remaining 62.25% reported not routinely using vitamin D supplementation. These data were useful for individualized interpretation of serum vitamin D levels and for adapting therapeutic management (for example, patients who had not previously used supplements were educated and closely monitored during subsequent administration).</w:t>
      </w:r>
    </w:p>
    <w:p w14:paraId="13B865F8" w14:textId="77777777" w:rsidR="008871B0" w:rsidRDefault="008871B0" w:rsidP="008871B0">
      <w:pPr>
        <w:pStyle w:val="NormalWeb"/>
      </w:pPr>
      <w:r>
        <w:t>Discussion of the obtained results highlights that patients with sufficient vitamin D levels exhibited a lower incidence of proliferative diabetic retinopathy. This suggests a potential protective role of vitamin D at the microvascular level, mediated through anti-inflammatory and antiangiogenic mechanisms. These observations are consistent with international literature associating vitamin D deficiency with advanced forms of diabetic retinopathy. The specific context of the Dobrogea region—characterized by high solar exposure but increased prevalence of vitamin D deficiency among elderly and less mobile patients—underscores the importance of individualized assessment of this risk factor. From a clinical perspective, the results support integrating vitamin D screening and correction of deficiency into care protocols for patients with diabetes mellitus. However, study limitations must be acknowledged, including the relatively small sample size and heterogeneity of lifestyle factors such as diet and sun exposure, which may influence vitamin D levels.</w:t>
      </w:r>
    </w:p>
    <w:p w14:paraId="242C90AB" w14:textId="77777777" w:rsidR="008871B0" w:rsidRDefault="008871B0" w:rsidP="008871B0">
      <w:pPr>
        <w:pStyle w:val="NormalWeb"/>
      </w:pPr>
      <w:r>
        <w:t xml:space="preserve">The main conclusions indicate that maintaining adequate vitamin D levels represents a protective factor against retinal neovascularization in patients with diabetic retinopathy. Vitamin D should be considered a complementary preventive measure alongside glycemic control and established therapies (anti-VEGF agents, photocoagulation, vitreoretinal surgery). Nevertheless, large-scale randomized clinical trials are needed to define optimal dosing and to evaluate the long-term </w:t>
      </w:r>
      <w:r>
        <w:lastRenderedPageBreak/>
        <w:t>impact of supplementation. Integrating vitamin D into multidimensional therapeutic strategies may contribute to preserving visual function and improving ocular prognosis in diabetic patients.</w:t>
      </w:r>
    </w:p>
    <w:p w14:paraId="19AC9945"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E357DFA"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7769509"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37F0772"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DACC521"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3A48A55"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EAA1B68"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E3FCB2D"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9866949"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BC4EE91"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02D6B64"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0666BD0"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1C31D4F" w14:textId="77777777" w:rsidR="008871B0" w:rsidRDefault="008871B0" w:rsidP="008871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91AAB5C" w14:textId="77777777" w:rsidR="007F1363" w:rsidRPr="008871B0" w:rsidRDefault="007F1363">
      <w:pPr>
        <w:rPr>
          <w:sz w:val="28"/>
          <w:szCs w:val="28"/>
        </w:rPr>
      </w:pPr>
    </w:p>
    <w:sectPr w:rsidR="007F1363" w:rsidRPr="00887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63"/>
    <w:rsid w:val="001E47F6"/>
    <w:rsid w:val="007F1363"/>
    <w:rsid w:val="0088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23FB"/>
  <w15:chartTrackingRefBased/>
  <w15:docId w15:val="{6EF99BFC-3478-478D-8270-E8C20C50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F1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7F1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7F1363"/>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7F1363"/>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7F1363"/>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7F136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F136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F136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F136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F136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F136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F136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F136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F136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F136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F136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F136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F1363"/>
    <w:rPr>
      <w:rFonts w:eastAsiaTheme="majorEastAsia" w:cstheme="majorBidi"/>
      <w:color w:val="272727" w:themeColor="text1" w:themeTint="D8"/>
    </w:rPr>
  </w:style>
  <w:style w:type="paragraph" w:styleId="Titlu">
    <w:name w:val="Title"/>
    <w:basedOn w:val="Normal"/>
    <w:next w:val="Normal"/>
    <w:link w:val="TitluCaracter"/>
    <w:uiPriority w:val="10"/>
    <w:qFormat/>
    <w:rsid w:val="007F1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F136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F136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F136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F136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F1363"/>
    <w:rPr>
      <w:i/>
      <w:iCs/>
      <w:color w:val="404040" w:themeColor="text1" w:themeTint="BF"/>
    </w:rPr>
  </w:style>
  <w:style w:type="paragraph" w:styleId="Listparagraf">
    <w:name w:val="List Paragraph"/>
    <w:basedOn w:val="Normal"/>
    <w:uiPriority w:val="34"/>
    <w:qFormat/>
    <w:rsid w:val="007F1363"/>
    <w:pPr>
      <w:ind w:left="720"/>
      <w:contextualSpacing/>
    </w:pPr>
  </w:style>
  <w:style w:type="character" w:styleId="Accentuareintens">
    <w:name w:val="Intense Emphasis"/>
    <w:basedOn w:val="Fontdeparagrafimplicit"/>
    <w:uiPriority w:val="21"/>
    <w:qFormat/>
    <w:rsid w:val="007F1363"/>
    <w:rPr>
      <w:i/>
      <w:iCs/>
      <w:color w:val="0F4761" w:themeColor="accent1" w:themeShade="BF"/>
    </w:rPr>
  </w:style>
  <w:style w:type="paragraph" w:styleId="Citatintens">
    <w:name w:val="Intense Quote"/>
    <w:basedOn w:val="Normal"/>
    <w:next w:val="Normal"/>
    <w:link w:val="CitatintensCaracter"/>
    <w:uiPriority w:val="30"/>
    <w:qFormat/>
    <w:rsid w:val="007F1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F1363"/>
    <w:rPr>
      <w:i/>
      <w:iCs/>
      <w:color w:val="0F4761" w:themeColor="accent1" w:themeShade="BF"/>
    </w:rPr>
  </w:style>
  <w:style w:type="character" w:styleId="Referireintens">
    <w:name w:val="Intense Reference"/>
    <w:basedOn w:val="Fontdeparagrafimplicit"/>
    <w:uiPriority w:val="32"/>
    <w:qFormat/>
    <w:rsid w:val="007F1363"/>
    <w:rPr>
      <w:b/>
      <w:bCs/>
      <w:smallCaps/>
      <w:color w:val="0F4761" w:themeColor="accent1" w:themeShade="BF"/>
      <w:spacing w:val="5"/>
    </w:rPr>
  </w:style>
  <w:style w:type="paragraph" w:styleId="NormalWeb">
    <w:name w:val="Normal (Web)"/>
    <w:basedOn w:val="Normal"/>
    <w:uiPriority w:val="99"/>
    <w:semiHidden/>
    <w:unhideWhenUsed/>
    <w:rsid w:val="008871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Robust">
    <w:name w:val="Strong"/>
    <w:basedOn w:val="Fontdeparagrafimplicit"/>
    <w:uiPriority w:val="22"/>
    <w:qFormat/>
    <w:rsid w:val="00887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2830</Words>
  <Characters>16135</Characters>
  <Application>Microsoft Office Word</Application>
  <DocSecurity>0</DocSecurity>
  <Lines>134</Lines>
  <Paragraphs>37</Paragraphs>
  <ScaleCrop>false</ScaleCrop>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Nejla Dervis</dc:creator>
  <cp:keywords/>
  <dc:description/>
  <cp:lastModifiedBy>Nejla Dervis</cp:lastModifiedBy>
  <cp:revision>2</cp:revision>
  <dcterms:created xsi:type="dcterms:W3CDTF">2026-01-09T22:03:00Z</dcterms:created>
  <dcterms:modified xsi:type="dcterms:W3CDTF">2026-01-09T22:54:00Z</dcterms:modified>
</cp:coreProperties>
</file>